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86A" w:rsidRPr="006A286A" w:rsidRDefault="006A286A" w:rsidP="006A286A">
      <w:pPr>
        <w:pStyle w:val="Textoindependiente"/>
        <w:rPr>
          <w:rFonts w:ascii="Century Gothic" w:hAnsi="Century Gothic"/>
          <w:b/>
          <w:sz w:val="22"/>
          <w:szCs w:val="22"/>
          <w:lang w:val="es-ES_tradnl"/>
        </w:rPr>
      </w:pPr>
      <w:r w:rsidRPr="006A286A">
        <w:rPr>
          <w:rFonts w:ascii="Century Gothic" w:hAnsi="Century Gothic"/>
          <w:b/>
          <w:sz w:val="22"/>
          <w:szCs w:val="22"/>
          <w:lang w:val="es-ES_tradnl"/>
        </w:rPr>
        <w:t>TRANSFERENCIA DE CUOTAS DE PARTICIPACIÓN</w:t>
      </w:r>
    </w:p>
    <w:p w:rsidR="006A286A" w:rsidRPr="006A286A" w:rsidRDefault="006A286A" w:rsidP="006A286A">
      <w:pPr>
        <w:pStyle w:val="Textoindependiente"/>
        <w:rPr>
          <w:rFonts w:ascii="Century Gothic" w:hAnsi="Century Gothic"/>
          <w:b/>
          <w:sz w:val="22"/>
          <w:szCs w:val="22"/>
          <w:lang w:val="es-ES_tradnl"/>
        </w:rPr>
      </w:pPr>
      <w:r w:rsidRPr="006A286A">
        <w:rPr>
          <w:rFonts w:ascii="Century Gothic" w:hAnsi="Century Gothic"/>
          <w:b/>
          <w:sz w:val="22"/>
          <w:szCs w:val="22"/>
          <w:lang w:val="es-ES_tradnl"/>
        </w:rPr>
        <w:t>COOPERATIVA DE ABASTECIMIENTO DE ENERGÍA ELÉCTRICA CURICÓ LTDA.</w:t>
      </w:r>
    </w:p>
    <w:p w:rsidR="006A286A" w:rsidRPr="006A286A" w:rsidRDefault="006A286A" w:rsidP="006A286A">
      <w:pPr>
        <w:pStyle w:val="Textoindependiente"/>
        <w:rPr>
          <w:rFonts w:ascii="Century Gothic" w:hAnsi="Century Gothic"/>
          <w:b/>
          <w:sz w:val="22"/>
          <w:szCs w:val="22"/>
          <w:lang w:val="es-ES_tradnl"/>
        </w:rPr>
      </w:pPr>
    </w:p>
    <w:p w:rsidR="006A286A" w:rsidRPr="006A286A" w:rsidRDefault="006A286A" w:rsidP="006A286A">
      <w:pPr>
        <w:pStyle w:val="Textoindependiente"/>
        <w:rPr>
          <w:rFonts w:ascii="Century Gothic" w:hAnsi="Century Gothic"/>
          <w:b/>
          <w:sz w:val="22"/>
          <w:szCs w:val="22"/>
          <w:lang w:val="es-ES_tradnl"/>
        </w:rPr>
      </w:pPr>
      <w:r w:rsidRPr="00A2256D">
        <w:rPr>
          <w:rFonts w:ascii="Century Gothic" w:hAnsi="Century Gothic"/>
          <w:b/>
          <w:sz w:val="22"/>
          <w:szCs w:val="22"/>
          <w:highlight w:val="yellow"/>
          <w:lang w:val="es-ES_tradnl"/>
        </w:rPr>
        <w:t>(NOMBRE CEDENTE)</w:t>
      </w:r>
    </w:p>
    <w:p w:rsidR="006A286A" w:rsidRPr="006A286A" w:rsidRDefault="006A286A" w:rsidP="006A286A">
      <w:pPr>
        <w:pStyle w:val="Textoindependiente"/>
        <w:rPr>
          <w:rFonts w:ascii="Century Gothic" w:hAnsi="Century Gothic"/>
          <w:b/>
          <w:sz w:val="22"/>
          <w:szCs w:val="22"/>
          <w:lang w:val="es-ES_tradnl"/>
        </w:rPr>
      </w:pPr>
      <w:r w:rsidRPr="006A286A">
        <w:rPr>
          <w:rFonts w:ascii="Century Gothic" w:hAnsi="Century Gothic"/>
          <w:b/>
          <w:sz w:val="22"/>
          <w:szCs w:val="22"/>
          <w:lang w:val="es-ES_tradnl"/>
        </w:rPr>
        <w:t>a</w:t>
      </w:r>
    </w:p>
    <w:p w:rsidR="006A286A" w:rsidRPr="006A286A" w:rsidRDefault="006A286A" w:rsidP="006A286A">
      <w:pPr>
        <w:pStyle w:val="Textoindependiente"/>
        <w:rPr>
          <w:rFonts w:ascii="Century Gothic" w:hAnsi="Century Gothic"/>
          <w:b/>
          <w:sz w:val="22"/>
          <w:szCs w:val="22"/>
          <w:lang w:val="es-ES_tradnl"/>
        </w:rPr>
      </w:pPr>
      <w:r w:rsidRPr="00A2256D">
        <w:rPr>
          <w:rFonts w:ascii="Century Gothic" w:hAnsi="Century Gothic"/>
          <w:b/>
          <w:sz w:val="22"/>
          <w:szCs w:val="22"/>
          <w:highlight w:val="yellow"/>
          <w:lang w:val="es-ES_tradnl"/>
        </w:rPr>
        <w:t>(NOMBRE CESIONARIO)</w:t>
      </w:r>
      <w:bookmarkStart w:id="0" w:name="_GoBack"/>
      <w:bookmarkEnd w:id="0"/>
    </w:p>
    <w:p w:rsidR="006A286A" w:rsidRPr="006A286A" w:rsidRDefault="006A286A" w:rsidP="006A286A">
      <w:pPr>
        <w:pStyle w:val="Textoindependiente"/>
        <w:jc w:val="both"/>
        <w:rPr>
          <w:rFonts w:ascii="Century Gothic" w:hAnsi="Century Gothic"/>
          <w:sz w:val="22"/>
          <w:szCs w:val="22"/>
          <w:lang w:val="es-ES_tradnl"/>
        </w:rPr>
      </w:pP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En Curicó a [</w:t>
      </w:r>
      <w:r w:rsidRPr="00A2256D">
        <w:rPr>
          <w:rFonts w:ascii="Century Gothic" w:hAnsi="Century Gothic"/>
          <w:sz w:val="20"/>
          <w:szCs w:val="22"/>
          <w:highlight w:val="yellow"/>
          <w:lang w:val="es-ES_tradnl"/>
        </w:rPr>
        <w:t>FECHA</w:t>
      </w:r>
      <w:r w:rsidRPr="006A286A">
        <w:rPr>
          <w:rFonts w:ascii="Century Gothic" w:hAnsi="Century Gothic"/>
          <w:sz w:val="20"/>
          <w:szCs w:val="22"/>
          <w:lang w:val="es-ES_tradnl"/>
        </w:rPr>
        <w:t xml:space="preserve">], se ha convenido el presente contrato de transferencia de cuotas de participación (en adelante el “Contrato”) entre </w:t>
      </w:r>
      <w:r w:rsidRPr="00A2256D">
        <w:rPr>
          <w:rFonts w:ascii="Century Gothic" w:hAnsi="Century Gothic"/>
          <w:sz w:val="20"/>
          <w:szCs w:val="22"/>
          <w:highlight w:val="yellow"/>
          <w:lang w:val="es-ES_tradnl"/>
        </w:rPr>
        <w:t>NOMBRE CEDENTE</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RUT</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NACIONALIDAD</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ESTADO CIVIL</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PROFESIÓN</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DOMICILIO</w:t>
      </w:r>
      <w:r w:rsidRPr="006A286A">
        <w:rPr>
          <w:rFonts w:ascii="Century Gothic" w:hAnsi="Century Gothic"/>
          <w:sz w:val="20"/>
          <w:szCs w:val="22"/>
          <w:lang w:val="es-ES_tradnl"/>
        </w:rPr>
        <w:t xml:space="preserve"> (en adelante e indistintamente el “CEDENTE”); y </w:t>
      </w:r>
      <w:r w:rsidRPr="00A2256D">
        <w:rPr>
          <w:rFonts w:ascii="Century Gothic" w:hAnsi="Century Gothic"/>
          <w:sz w:val="20"/>
          <w:szCs w:val="22"/>
          <w:highlight w:val="yellow"/>
          <w:lang w:val="es-ES_tradnl"/>
        </w:rPr>
        <w:t>NOMBRE CESIONARIO</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RUT</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NACIONALIDAD</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ESTADO CIVIL</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PROFESIÓN</w:t>
      </w:r>
      <w:r w:rsidRPr="006A286A">
        <w:rPr>
          <w:rFonts w:ascii="Century Gothic" w:hAnsi="Century Gothic"/>
          <w:sz w:val="20"/>
          <w:szCs w:val="22"/>
          <w:lang w:val="es-ES_tradnl"/>
        </w:rPr>
        <w:t xml:space="preserve">, </w:t>
      </w:r>
      <w:r w:rsidRPr="00A2256D">
        <w:rPr>
          <w:rFonts w:ascii="Century Gothic" w:hAnsi="Century Gothic"/>
          <w:sz w:val="20"/>
          <w:szCs w:val="22"/>
          <w:highlight w:val="yellow"/>
          <w:lang w:val="es-ES_tradnl"/>
        </w:rPr>
        <w:t>DOMICILIO</w:t>
      </w:r>
      <w:r w:rsidRPr="006A286A">
        <w:rPr>
          <w:rFonts w:ascii="Century Gothic" w:hAnsi="Century Gothic"/>
          <w:sz w:val="20"/>
          <w:szCs w:val="22"/>
          <w:lang w:val="es-ES_tradnl"/>
        </w:rPr>
        <w:t xml:space="preserve"> (en adelante e indistintamente el “CESIONARIO”, y referido en conjunto con el CEDENTE como las “Partes”). </w:t>
      </w: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b/>
          <w:sz w:val="20"/>
          <w:szCs w:val="22"/>
          <w:lang w:val="es-ES_tradnl"/>
        </w:rPr>
      </w:pPr>
      <w:r w:rsidRPr="006A286A">
        <w:rPr>
          <w:rFonts w:ascii="Century Gothic" w:hAnsi="Century Gothic"/>
          <w:b/>
          <w:sz w:val="20"/>
          <w:szCs w:val="22"/>
          <w:lang w:val="es-ES_tradnl"/>
        </w:rPr>
        <w:t xml:space="preserve">PRIMERO: Antecedentes. </w:t>
      </w: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COOPERATIVA DE ABASTECIMIENTO DE ENERGÍA ELÉCTRICA CURICÓ LTDA. en adelante CEC LTDA.) está formada por la unión de la cooperativa de Consumo de Energía Eléctrica Curicó Ltda. Fundada el 20 de marzo de 1951 y su personería jurídica Decreto N° 604 de fecha 08 de mayo de 1953, y la Cooperativa de consumo de Energía Eléctrica Teno Ltda., fundada el 28 de agosto de 1956 y su personería jurídica data del 1º de febrero de 1957. El Decreto Supremo N° 1.661 de fecha 26 de diciembre de 1967, publicado en el Diario Oficial N° 26.980 del 28 de febrero de 1968. El Departamento de Cooperativas del Ministerio de Economía autorizó la incorporación de la Cooperativa Eléctrica de Teno Ltda., a la Cooperativa Eléctrica de Curicó Ltda.</w:t>
      </w: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b/>
          <w:sz w:val="20"/>
          <w:szCs w:val="22"/>
          <w:lang w:val="es-ES_tradnl"/>
        </w:rPr>
      </w:pPr>
      <w:r w:rsidRPr="006A286A">
        <w:rPr>
          <w:rFonts w:ascii="Century Gothic" w:hAnsi="Century Gothic"/>
          <w:b/>
          <w:sz w:val="20"/>
          <w:szCs w:val="22"/>
          <w:lang w:val="es-ES_tradnl"/>
        </w:rPr>
        <w:t xml:space="preserve">SEGUNDO: Propiedad sobre las cuotas de Participación. </w:t>
      </w: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 xml:space="preserve">El CEDENTE es dueño de </w:t>
      </w:r>
      <w:r w:rsidRPr="00A2256D">
        <w:rPr>
          <w:rFonts w:ascii="Century Gothic" w:hAnsi="Century Gothic"/>
          <w:sz w:val="20"/>
          <w:szCs w:val="22"/>
          <w:highlight w:val="yellow"/>
          <w:lang w:val="es-ES_tradnl"/>
        </w:rPr>
        <w:t>XXXX</w:t>
      </w:r>
      <w:r w:rsidRPr="006A286A">
        <w:rPr>
          <w:rFonts w:ascii="Century Gothic" w:hAnsi="Century Gothic"/>
          <w:sz w:val="20"/>
          <w:szCs w:val="22"/>
          <w:lang w:val="es-ES_tradnl"/>
        </w:rPr>
        <w:t xml:space="preserve"> cuotas de participación de CEC LTDA., según consta en el Certificado N° </w:t>
      </w:r>
      <w:r w:rsidRPr="00A2256D">
        <w:rPr>
          <w:rFonts w:ascii="Century Gothic" w:hAnsi="Century Gothic"/>
          <w:sz w:val="20"/>
          <w:szCs w:val="22"/>
          <w:highlight w:val="yellow"/>
          <w:lang w:val="es-ES_tradnl"/>
        </w:rPr>
        <w:t>XXXX</w:t>
      </w:r>
      <w:r w:rsidRPr="006A286A">
        <w:rPr>
          <w:rFonts w:ascii="Century Gothic" w:hAnsi="Century Gothic"/>
          <w:sz w:val="20"/>
          <w:szCs w:val="22"/>
          <w:lang w:val="es-ES_tradnl"/>
        </w:rPr>
        <w:t xml:space="preserve"> emitido por CEC LTDA., con fecha </w:t>
      </w:r>
      <w:r w:rsidRPr="00A2256D">
        <w:rPr>
          <w:rFonts w:ascii="Century Gothic" w:hAnsi="Century Gothic"/>
          <w:sz w:val="20"/>
          <w:szCs w:val="22"/>
          <w:highlight w:val="yellow"/>
          <w:lang w:val="es-ES_tradnl"/>
        </w:rPr>
        <w:t>XX/XX/XX</w:t>
      </w:r>
      <w:r w:rsidRPr="006A286A">
        <w:rPr>
          <w:rFonts w:ascii="Century Gothic" w:hAnsi="Century Gothic"/>
          <w:sz w:val="20"/>
          <w:szCs w:val="22"/>
          <w:lang w:val="es-ES_tradnl"/>
        </w:rPr>
        <w:t>.</w:t>
      </w: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b/>
          <w:sz w:val="20"/>
          <w:szCs w:val="22"/>
          <w:lang w:val="es-ES_tradnl"/>
        </w:rPr>
      </w:pPr>
      <w:r w:rsidRPr="006A286A">
        <w:rPr>
          <w:rFonts w:ascii="Century Gothic" w:hAnsi="Century Gothic"/>
          <w:b/>
          <w:sz w:val="20"/>
          <w:szCs w:val="22"/>
          <w:lang w:val="es-ES_tradnl"/>
        </w:rPr>
        <w:t xml:space="preserve">TERCERO: Transferencia de Cuotas de Participación. </w:t>
      </w: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 xml:space="preserve">En este acto, de acuerdo a autorización del Consejo de Administración de fecha </w:t>
      </w:r>
      <w:r w:rsidRPr="00A2256D">
        <w:rPr>
          <w:rFonts w:ascii="Century Gothic" w:hAnsi="Century Gothic"/>
          <w:sz w:val="20"/>
          <w:szCs w:val="22"/>
          <w:highlight w:val="yellow"/>
          <w:lang w:val="es-ES_tradnl"/>
        </w:rPr>
        <w:t>XX/XX/XXX</w:t>
      </w:r>
      <w:r w:rsidR="00A2256D" w:rsidRPr="00A2256D">
        <w:rPr>
          <w:rFonts w:ascii="Century Gothic" w:hAnsi="Century Gothic"/>
          <w:sz w:val="20"/>
          <w:szCs w:val="22"/>
          <w:highlight w:val="yellow"/>
          <w:lang w:val="es-ES_tradnl"/>
        </w:rPr>
        <w:t>X</w:t>
      </w:r>
      <w:r w:rsidRPr="006A286A">
        <w:rPr>
          <w:rFonts w:ascii="Century Gothic" w:hAnsi="Century Gothic"/>
          <w:sz w:val="20"/>
          <w:szCs w:val="22"/>
          <w:lang w:val="es-ES_tradnl"/>
        </w:rPr>
        <w:t xml:space="preserve"> y por el presente instrumento, el CEDENTE transfiere </w:t>
      </w:r>
      <w:r w:rsidRPr="00A2256D">
        <w:rPr>
          <w:rFonts w:ascii="Century Gothic" w:hAnsi="Century Gothic"/>
          <w:sz w:val="20"/>
          <w:szCs w:val="22"/>
          <w:highlight w:val="yellow"/>
          <w:lang w:val="es-ES_tradnl"/>
        </w:rPr>
        <w:t>XXXX</w:t>
      </w:r>
      <w:r w:rsidRPr="006A286A">
        <w:rPr>
          <w:rFonts w:ascii="Century Gothic" w:hAnsi="Century Gothic"/>
          <w:sz w:val="20"/>
          <w:szCs w:val="22"/>
          <w:lang w:val="es-ES_tradnl"/>
        </w:rPr>
        <w:t xml:space="preserve"> Cuotas de Participación al CESIONARIO quien adquiere para sí y acepta en el precio señalado en la cláusula cuarta siguiente. </w:t>
      </w: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b/>
          <w:sz w:val="20"/>
          <w:szCs w:val="22"/>
          <w:lang w:val="es-ES_tradnl"/>
        </w:rPr>
      </w:pPr>
      <w:r w:rsidRPr="006A286A">
        <w:rPr>
          <w:rFonts w:ascii="Century Gothic" w:hAnsi="Century Gothic"/>
          <w:b/>
          <w:sz w:val="20"/>
          <w:szCs w:val="22"/>
          <w:lang w:val="es-ES_tradnl"/>
        </w:rPr>
        <w:t>CUARTO: Precio de la Transferencia.</w:t>
      </w: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 xml:space="preserve">El precio de la Transferencia de las Cuotas de Participación corresponde a la cantidad única, total y definitiva de </w:t>
      </w:r>
      <w:r w:rsidRPr="00A2256D">
        <w:rPr>
          <w:rFonts w:ascii="Century Gothic" w:hAnsi="Century Gothic"/>
          <w:sz w:val="20"/>
          <w:szCs w:val="22"/>
          <w:highlight w:val="yellow"/>
          <w:lang w:val="es-ES_tradnl"/>
        </w:rPr>
        <w:t>$ XXXXX</w:t>
      </w:r>
      <w:r w:rsidRPr="006A286A">
        <w:rPr>
          <w:rFonts w:ascii="Century Gothic" w:hAnsi="Century Gothic"/>
          <w:sz w:val="20"/>
          <w:szCs w:val="22"/>
          <w:lang w:val="es-ES_tradnl"/>
        </w:rPr>
        <w:t>, monto que el CESIONARIO paga al CEDENTE de contado y en dinero efectivo en este mismo acto, declarando el CEDENTE haberlo recibido a su entera y total conformidad, dando por íntegramente pagado y cancelado el Precio.</w:t>
      </w: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b/>
          <w:sz w:val="20"/>
          <w:szCs w:val="22"/>
          <w:lang w:val="es-ES_tradnl"/>
        </w:rPr>
      </w:pPr>
      <w:r w:rsidRPr="006A286A">
        <w:rPr>
          <w:rFonts w:ascii="Century Gothic" w:hAnsi="Century Gothic"/>
          <w:b/>
          <w:sz w:val="20"/>
          <w:szCs w:val="22"/>
          <w:lang w:val="es-ES_tradnl"/>
        </w:rPr>
        <w:t xml:space="preserve">QUINTO: Domicilio. </w:t>
      </w: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 xml:space="preserve">Para todos los efectos legales, las Partes fijan su domicilio en Curicó y se someten a la competencia de sus Tribunales Ordinarios de Justicia. </w:t>
      </w:r>
    </w:p>
    <w:p w:rsidR="006A286A" w:rsidRPr="006A286A" w:rsidRDefault="006A286A" w:rsidP="006A286A">
      <w:pPr>
        <w:pStyle w:val="Textoindependiente"/>
        <w:tabs>
          <w:tab w:val="left" w:pos="2928"/>
        </w:tabs>
        <w:jc w:val="both"/>
        <w:rPr>
          <w:rFonts w:ascii="Century Gothic" w:hAnsi="Century Gothic"/>
          <w:sz w:val="20"/>
          <w:szCs w:val="22"/>
          <w:lang w:val="es-ES_tradnl"/>
        </w:rPr>
      </w:pPr>
      <w:r w:rsidRPr="006A286A">
        <w:rPr>
          <w:rFonts w:ascii="Century Gothic" w:hAnsi="Century Gothic"/>
          <w:sz w:val="20"/>
          <w:szCs w:val="22"/>
          <w:lang w:val="es-ES_tradnl"/>
        </w:rPr>
        <w:tab/>
      </w:r>
    </w:p>
    <w:p w:rsidR="006A286A" w:rsidRPr="006A286A" w:rsidRDefault="006A286A" w:rsidP="006A286A">
      <w:pPr>
        <w:pStyle w:val="Textoindependiente"/>
        <w:jc w:val="both"/>
        <w:rPr>
          <w:rFonts w:ascii="Century Gothic" w:hAnsi="Century Gothic"/>
          <w:b/>
          <w:sz w:val="20"/>
          <w:szCs w:val="22"/>
          <w:lang w:val="es-ES_tradnl"/>
        </w:rPr>
      </w:pPr>
      <w:r w:rsidRPr="006A286A">
        <w:rPr>
          <w:rFonts w:ascii="Century Gothic" w:hAnsi="Century Gothic"/>
          <w:b/>
          <w:sz w:val="20"/>
          <w:szCs w:val="22"/>
          <w:lang w:val="es-ES_tradnl"/>
        </w:rPr>
        <w:t xml:space="preserve">SEXTO: Ejemplares. </w:t>
      </w:r>
    </w:p>
    <w:p w:rsidR="006A286A" w:rsidRPr="006A286A" w:rsidRDefault="006A286A" w:rsidP="006A286A">
      <w:pPr>
        <w:pStyle w:val="Textoindependiente"/>
        <w:jc w:val="both"/>
        <w:rPr>
          <w:rFonts w:ascii="Century Gothic" w:hAnsi="Century Gothic"/>
          <w:sz w:val="20"/>
          <w:szCs w:val="22"/>
          <w:lang w:val="es-ES_tradnl"/>
        </w:rPr>
      </w:pPr>
      <w:r w:rsidRPr="006A286A">
        <w:rPr>
          <w:rFonts w:ascii="Century Gothic" w:hAnsi="Century Gothic"/>
          <w:sz w:val="20"/>
          <w:szCs w:val="22"/>
          <w:lang w:val="es-ES_tradnl"/>
        </w:rPr>
        <w:t xml:space="preserve">El presente instrumento se firma en 3 ejemplares originales del mismo tenor y fecha, quedando dos en poder del CESIONARIO y uno en poder del CEDENTE. </w:t>
      </w: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jc w:val="both"/>
        <w:rPr>
          <w:rFonts w:ascii="Century Gothic" w:hAnsi="Century Gothic"/>
          <w:sz w:val="20"/>
          <w:szCs w:val="22"/>
          <w:lang w:val="es-ES_tradnl"/>
        </w:rPr>
      </w:pPr>
    </w:p>
    <w:p w:rsidR="006A286A" w:rsidRPr="006A286A" w:rsidRDefault="006A286A" w:rsidP="006A286A">
      <w:pPr>
        <w:pStyle w:val="Textoindependiente"/>
        <w:rPr>
          <w:rFonts w:ascii="Century Gothic" w:hAnsi="Century Gothic"/>
          <w:b/>
          <w:sz w:val="20"/>
          <w:szCs w:val="22"/>
          <w:lang w:val="es-ES_tradnl"/>
        </w:rPr>
        <w:sectPr w:rsidR="006A286A" w:rsidRPr="006A286A" w:rsidSect="006A286A">
          <w:footerReference w:type="first" r:id="rId6"/>
          <w:type w:val="continuous"/>
          <w:pgSz w:w="12240" w:h="15840"/>
          <w:pgMar w:top="1135" w:right="1701" w:bottom="426" w:left="1701" w:header="708" w:footer="432" w:gutter="0"/>
          <w:cols w:space="708"/>
          <w:docGrid w:linePitch="360"/>
        </w:sectPr>
      </w:pPr>
    </w:p>
    <w:p w:rsidR="006A286A" w:rsidRPr="006A286A" w:rsidRDefault="006A286A" w:rsidP="006A286A">
      <w:pPr>
        <w:pStyle w:val="Textoindependiente"/>
        <w:rPr>
          <w:rFonts w:ascii="Century Gothic" w:hAnsi="Century Gothic"/>
          <w:b/>
          <w:sz w:val="20"/>
          <w:szCs w:val="22"/>
          <w:lang w:val="es-ES_tradnl"/>
        </w:rPr>
      </w:pPr>
      <w:r w:rsidRPr="00A2256D">
        <w:rPr>
          <w:rFonts w:ascii="Century Gothic" w:hAnsi="Century Gothic"/>
          <w:b/>
          <w:sz w:val="20"/>
          <w:szCs w:val="22"/>
          <w:highlight w:val="yellow"/>
          <w:lang w:val="es-ES_tradnl"/>
        </w:rPr>
        <w:t>NOMBRE Y RUT CEDENTE</w:t>
      </w:r>
    </w:p>
    <w:p w:rsidR="006A286A" w:rsidRPr="006A286A" w:rsidRDefault="006A286A" w:rsidP="006A286A">
      <w:pPr>
        <w:pStyle w:val="Textoindependiente"/>
        <w:jc w:val="left"/>
        <w:rPr>
          <w:rFonts w:ascii="Century Gothic" w:hAnsi="Century Gothic"/>
          <w:b/>
          <w:sz w:val="20"/>
          <w:szCs w:val="22"/>
          <w:lang w:val="es-ES_tradnl"/>
        </w:rPr>
      </w:pPr>
    </w:p>
    <w:p w:rsidR="006A286A" w:rsidRPr="006A286A" w:rsidRDefault="006A286A" w:rsidP="006A286A">
      <w:pPr>
        <w:pStyle w:val="Textoindependiente"/>
        <w:rPr>
          <w:rFonts w:ascii="Century Gothic" w:hAnsi="Century Gothic"/>
          <w:b/>
          <w:sz w:val="20"/>
          <w:szCs w:val="22"/>
          <w:lang w:val="es-ES_tradnl"/>
        </w:rPr>
      </w:pPr>
      <w:r w:rsidRPr="00A2256D">
        <w:rPr>
          <w:rFonts w:ascii="Century Gothic" w:hAnsi="Century Gothic"/>
          <w:b/>
          <w:sz w:val="20"/>
          <w:szCs w:val="22"/>
          <w:highlight w:val="yellow"/>
          <w:lang w:val="es-ES_tradnl"/>
        </w:rPr>
        <w:t>NOMBRE Y RUT CESIONARIO</w:t>
      </w:r>
    </w:p>
    <w:p w:rsidR="006A286A" w:rsidRPr="006A286A" w:rsidRDefault="006A286A" w:rsidP="006A286A">
      <w:pPr>
        <w:pStyle w:val="Textoindependiente"/>
        <w:jc w:val="both"/>
        <w:rPr>
          <w:rFonts w:ascii="Century Gothic" w:hAnsi="Century Gothic"/>
          <w:i/>
          <w:sz w:val="20"/>
          <w:szCs w:val="22"/>
          <w:lang w:val="es-ES_tradnl"/>
        </w:rPr>
        <w:sectPr w:rsidR="006A286A" w:rsidRPr="006A286A" w:rsidSect="006A286A">
          <w:type w:val="continuous"/>
          <w:pgSz w:w="12240" w:h="15840"/>
          <w:pgMar w:top="1135" w:right="1701" w:bottom="851" w:left="1701" w:header="708" w:footer="432" w:gutter="0"/>
          <w:cols w:num="2" w:space="708"/>
          <w:docGrid w:linePitch="360"/>
        </w:sectPr>
      </w:pPr>
    </w:p>
    <w:p w:rsidR="006A286A" w:rsidRPr="006A286A" w:rsidRDefault="006A286A" w:rsidP="006A286A">
      <w:pPr>
        <w:pStyle w:val="Textoindependiente"/>
        <w:jc w:val="both"/>
        <w:rPr>
          <w:rFonts w:ascii="Century Gothic" w:hAnsi="Century Gothic" w:cs="Tahoma"/>
          <w:bCs/>
          <w:i/>
          <w:sz w:val="20"/>
          <w:szCs w:val="22"/>
          <w:lang w:val="es-ES_tradnl"/>
        </w:rPr>
      </w:pPr>
      <w:r w:rsidRPr="006A286A">
        <w:rPr>
          <w:rFonts w:ascii="Century Gothic" w:hAnsi="Century Gothic"/>
          <w:i/>
          <w:sz w:val="20"/>
          <w:szCs w:val="22"/>
          <w:lang w:val="es-ES_tradnl"/>
        </w:rPr>
        <w:t>NOMBRE, FIRMA Y TIMBRE NOTARIO PÚBLICO</w:t>
      </w:r>
    </w:p>
    <w:p w:rsidR="008130A3" w:rsidRPr="006A286A" w:rsidRDefault="008130A3"/>
    <w:sectPr w:rsidR="008130A3" w:rsidRPr="006A286A" w:rsidSect="006A286A">
      <w:type w:val="continuous"/>
      <w:pgSz w:w="12240" w:h="15840"/>
      <w:pgMar w:top="1135" w:right="1701" w:bottom="851"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87A" w:rsidRDefault="0067387A" w:rsidP="006A286A">
      <w:r>
        <w:separator/>
      </w:r>
    </w:p>
  </w:endnote>
  <w:endnote w:type="continuationSeparator" w:id="0">
    <w:p w:rsidR="0067387A" w:rsidRDefault="0067387A" w:rsidP="006A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34" w:rsidRPr="00B628A7" w:rsidRDefault="0067387A" w:rsidP="00CB2973">
    <w:pPr>
      <w:pStyle w:val="Piedepgina"/>
      <w:spacing w:before="120"/>
      <w:rPr>
        <w:rFonts w:ascii="Century Gothic" w:hAnsi="Century Gothic" w:cs="Arial"/>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87A" w:rsidRDefault="0067387A" w:rsidP="006A286A">
      <w:r>
        <w:separator/>
      </w:r>
    </w:p>
  </w:footnote>
  <w:footnote w:type="continuationSeparator" w:id="0">
    <w:p w:rsidR="0067387A" w:rsidRDefault="0067387A" w:rsidP="006A2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6A"/>
    <w:rsid w:val="0067387A"/>
    <w:rsid w:val="006A286A"/>
    <w:rsid w:val="008130A3"/>
    <w:rsid w:val="00A225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DFCB0"/>
  <w15:chartTrackingRefBased/>
  <w15:docId w15:val="{B06878E1-D1A2-4D5B-8E3E-888D7B55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86A"/>
    <w:pPr>
      <w:spacing w:after="0" w:line="240" w:lineRule="auto"/>
    </w:pPr>
    <w:rPr>
      <w:rFonts w:ascii="Times New Roman" w:eastAsia="Times New Roman" w:hAnsi="Times New Roman" w:cs="Times New Roman"/>
      <w:sz w:val="24"/>
      <w:szCs w:val="24"/>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A286A"/>
    <w:pPr>
      <w:tabs>
        <w:tab w:val="center" w:pos="4419"/>
        <w:tab w:val="right" w:pos="8838"/>
      </w:tabs>
    </w:pPr>
  </w:style>
  <w:style w:type="character" w:customStyle="1" w:styleId="EncabezadoCar">
    <w:name w:val="Encabezado Car"/>
    <w:basedOn w:val="Fuentedeprrafopredeter"/>
    <w:link w:val="Encabezado"/>
    <w:rsid w:val="006A286A"/>
    <w:rPr>
      <w:rFonts w:ascii="Times New Roman" w:eastAsia="Times New Roman" w:hAnsi="Times New Roman" w:cs="Times New Roman"/>
      <w:sz w:val="24"/>
      <w:szCs w:val="24"/>
      <w:lang w:eastAsia="es-ES" w:bidi="he-IL"/>
    </w:rPr>
  </w:style>
  <w:style w:type="paragraph" w:styleId="Piedepgina">
    <w:name w:val="footer"/>
    <w:basedOn w:val="Normal"/>
    <w:link w:val="PiedepginaCar"/>
    <w:uiPriority w:val="99"/>
    <w:rsid w:val="006A286A"/>
    <w:pPr>
      <w:tabs>
        <w:tab w:val="center" w:pos="4419"/>
        <w:tab w:val="right" w:pos="8838"/>
      </w:tabs>
    </w:pPr>
  </w:style>
  <w:style w:type="character" w:customStyle="1" w:styleId="PiedepginaCar">
    <w:name w:val="Pie de página Car"/>
    <w:basedOn w:val="Fuentedeprrafopredeter"/>
    <w:link w:val="Piedepgina"/>
    <w:uiPriority w:val="99"/>
    <w:rsid w:val="006A286A"/>
    <w:rPr>
      <w:rFonts w:ascii="Times New Roman" w:eastAsia="Times New Roman" w:hAnsi="Times New Roman" w:cs="Times New Roman"/>
      <w:sz w:val="24"/>
      <w:szCs w:val="24"/>
      <w:lang w:eastAsia="es-ES" w:bidi="he-IL"/>
    </w:rPr>
  </w:style>
  <w:style w:type="paragraph" w:styleId="Textoindependiente">
    <w:name w:val="Body Text"/>
    <w:basedOn w:val="Normal"/>
    <w:link w:val="TextoindependienteCar"/>
    <w:rsid w:val="006A286A"/>
    <w:pPr>
      <w:jc w:val="center"/>
    </w:pPr>
    <w:rPr>
      <w:lang w:bidi="ar-SA"/>
    </w:rPr>
  </w:style>
  <w:style w:type="character" w:customStyle="1" w:styleId="TextoindependienteCar">
    <w:name w:val="Texto independiente Car"/>
    <w:basedOn w:val="Fuentedeprrafopredeter"/>
    <w:link w:val="Textoindependiente"/>
    <w:rsid w:val="006A286A"/>
    <w:rPr>
      <w:rFonts w:ascii="Times New Roman" w:eastAsia="Times New Roman" w:hAnsi="Times New Roman" w:cs="Times New Roman"/>
      <w:sz w:val="24"/>
      <w:szCs w:val="24"/>
      <w:lang w:eastAsia="es-ES"/>
    </w:rPr>
  </w:style>
  <w:style w:type="character" w:styleId="Hipervnculo">
    <w:name w:val="Hyperlink"/>
    <w:basedOn w:val="Fuentedeprrafopredeter"/>
    <w:rsid w:val="006A2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Santander</dc:creator>
  <cp:keywords/>
  <dc:description/>
  <cp:lastModifiedBy>Francisco Santander</cp:lastModifiedBy>
  <cp:revision>2</cp:revision>
  <dcterms:created xsi:type="dcterms:W3CDTF">2018-03-13T12:19:00Z</dcterms:created>
  <dcterms:modified xsi:type="dcterms:W3CDTF">2018-03-13T12:28:00Z</dcterms:modified>
</cp:coreProperties>
</file>